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623" w:rsidRPr="0020165E" w:rsidRDefault="00EC0623" w:rsidP="0014194D">
      <w:pPr>
        <w:ind w:firstLine="708"/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bookmarkStart w:id="0" w:name="_GoBack"/>
      <w:bookmarkEnd w:id="0"/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На основу члана 48. став 4. Закона о тржишту капитала („Службени гласник РСˮ, бр. 31/11, 112/15 и 108/16) и члана 42. став 1. Закона о Влади („Службени гласник РСˮ, бр. 55/05, 71/05-исправка, 101/</w:t>
      </w:r>
      <w:r w:rsidR="0014194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07, 65/08, 16/11, 68/12-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УС, 72/12, 7/14-</w:t>
      </w:r>
      <w:r w:rsidR="0014194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УС,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44/14</w:t>
      </w:r>
      <w:r w:rsidR="0014194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 30/18-др. закон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),</w:t>
      </w:r>
      <w:r w:rsidR="0014194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</w:p>
    <w:p w:rsidR="00EC0623" w:rsidRDefault="00EC0623" w:rsidP="0014194D">
      <w:pPr>
        <w:contextualSpacing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ab/>
        <w:t>Влада доноси</w:t>
      </w:r>
    </w:p>
    <w:p w:rsidR="00447D84" w:rsidRPr="0020165E" w:rsidRDefault="00447D84" w:rsidP="00447D84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:rsidR="00EC0623" w:rsidRDefault="00EC0623" w:rsidP="00EC0623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F7A6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У Р Е Д Б У</w:t>
      </w:r>
    </w:p>
    <w:p w:rsidR="0014194D" w:rsidRPr="00FF7A6E" w:rsidRDefault="0014194D" w:rsidP="00EC0623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:rsidR="00EC0623" w:rsidRDefault="00EC0623" w:rsidP="00EC0623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FF7A6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О ИЗМЕНАМА И ДОПУНАМА УРЕДБЕ О НАЧИНУ И ПОСТУПКУ ПРОДАЈЕ АКЦИЈА БАНАКА КОЈЕ СУ У ВЛАСНИШТВУ РЕПУБЛИКЕ СРБИЈЕ</w:t>
      </w:r>
    </w:p>
    <w:p w:rsidR="0014194D" w:rsidRPr="00FF7A6E" w:rsidRDefault="0014194D" w:rsidP="00EC0623">
      <w:pPr>
        <w:contextualSpacing/>
        <w:jc w:val="center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</w:p>
    <w:p w:rsidR="003B251E" w:rsidRPr="0020165E" w:rsidRDefault="003B251E" w:rsidP="00EC062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B251E" w:rsidRPr="00FF7A6E" w:rsidRDefault="003B251E" w:rsidP="003B251E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FF7A6E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:rsidR="003B251E" w:rsidRPr="0020165E" w:rsidRDefault="003B251E" w:rsidP="00464A36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0165E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20165E">
        <w:rPr>
          <w:rFonts w:ascii="Times New Roman" w:hAnsi="Times New Roman" w:cs="Times New Roman"/>
          <w:sz w:val="24"/>
          <w:szCs w:val="24"/>
          <w:lang w:val="sr-Cyrl-RS"/>
        </w:rPr>
        <w:t>У Уредби о начину и поступку продаје акци</w:t>
      </w:r>
      <w:r w:rsidR="0047439F" w:rsidRPr="0020165E">
        <w:rPr>
          <w:rFonts w:ascii="Times New Roman" w:hAnsi="Times New Roman" w:cs="Times New Roman"/>
          <w:sz w:val="24"/>
          <w:szCs w:val="24"/>
          <w:lang w:val="sr-Cyrl-RS"/>
        </w:rPr>
        <w:t>ја банака које су у власништву Републике С</w:t>
      </w:r>
      <w:r w:rsidRPr="0020165E">
        <w:rPr>
          <w:rFonts w:ascii="Times New Roman" w:hAnsi="Times New Roman" w:cs="Times New Roman"/>
          <w:sz w:val="24"/>
          <w:szCs w:val="24"/>
          <w:lang w:val="sr-Cyrl-RS"/>
        </w:rPr>
        <w:t>рбије (</w:t>
      </w:r>
      <w:r w:rsidR="00861653"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„</w:t>
      </w:r>
      <w:r w:rsidRPr="0020165E">
        <w:rPr>
          <w:rFonts w:ascii="Times New Roman" w:eastAsia="Times New Roman" w:hAnsi="Times New Roman" w:cs="Times New Roman"/>
          <w:sz w:val="24"/>
          <w:szCs w:val="24"/>
          <w:lang w:eastAsia="sr-Latn-RS"/>
        </w:rPr>
        <w:t>Службени гласник РС</w:t>
      </w:r>
      <w:r w:rsidR="00861653"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ˮ</w:t>
      </w:r>
      <w:r w:rsidRPr="0020165E">
        <w:rPr>
          <w:rFonts w:ascii="Times New Roman" w:eastAsia="Times New Roman" w:hAnsi="Times New Roman" w:cs="Times New Roman"/>
          <w:sz w:val="24"/>
          <w:szCs w:val="24"/>
          <w:lang w:eastAsia="sr-Latn-RS"/>
        </w:rPr>
        <w:t>, бр</w:t>
      </w:r>
      <w:r w:rsidR="00EC0623" w:rsidRPr="0020165E">
        <w:rPr>
          <w:rFonts w:ascii="Times New Roman" w:eastAsia="Times New Roman" w:hAnsi="Times New Roman" w:cs="Times New Roman"/>
          <w:sz w:val="24"/>
          <w:szCs w:val="24"/>
          <w:lang w:eastAsia="sr-Latn-RS"/>
        </w:rPr>
        <w:t>oj</w:t>
      </w:r>
      <w:r w:rsidRPr="0020165E">
        <w:rPr>
          <w:rFonts w:ascii="Times New Roman" w:eastAsia="Times New Roman" w:hAnsi="Times New Roman" w:cs="Times New Roman"/>
          <w:sz w:val="24"/>
          <w:szCs w:val="24"/>
          <w:lang w:eastAsia="sr-Latn-RS"/>
        </w:rPr>
        <w:t xml:space="preserve"> </w:t>
      </w:r>
      <w:r w:rsidR="00EC0623" w:rsidRPr="0020165E">
        <w:rPr>
          <w:rFonts w:ascii="Times New Roman" w:eastAsia="Times New Roman" w:hAnsi="Times New Roman" w:cs="Times New Roman"/>
          <w:sz w:val="24"/>
          <w:szCs w:val="24"/>
          <w:lang w:eastAsia="sr-Latn-RS"/>
        </w:rPr>
        <w:t>42/17</w:t>
      </w:r>
      <w:r w:rsidR="00E943C8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), у</w:t>
      </w:r>
      <w:r w:rsidR="00EC0623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члану 2. став 1</w:t>
      </w:r>
      <w:r w:rsidR="00464A36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. </w:t>
      </w:r>
      <w:r w:rsidR="003E415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после</w:t>
      </w:r>
      <w:r w:rsidR="00EC0623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тачке б) додаје се нова тачка в)</w:t>
      </w:r>
      <w:r w:rsidR="008F70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="00EC0623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A56D6F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која гласи</w:t>
      </w:r>
      <w:r w:rsidR="00EC0623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</w:t>
      </w:r>
    </w:p>
    <w:p w:rsidR="00A56D6F" w:rsidRPr="0020165E" w:rsidRDefault="00A56D6F" w:rsidP="004D3C5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ab/>
        <w:t>„</w:t>
      </w:r>
      <w:r w:rsidR="00C95140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в) 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„потенцијални стицалац</w:t>
      </w:r>
      <w:r w:rsidR="00FF7A6E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ˮ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је лице које је дост</w:t>
      </w:r>
      <w:r w:rsidR="0014194D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авило писмо о заинтересованости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или сличан документ, са израженом намером за стицање акција одређене банке у власништву Републике Србије, а које</w:t>
      </w:r>
      <w:r w:rsidR="008218A0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, по сопственој процени,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поседује адекватно финансијско ста</w:t>
      </w:r>
      <w:r w:rsidR="00447D84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ње и добру пословну репутацију;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ˮ</w:t>
      </w:r>
      <w:r w:rsidR="004D3C52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</w:p>
    <w:p w:rsidR="00A56D6F" w:rsidRPr="00A56D6F" w:rsidRDefault="003C385D" w:rsidP="004D3C52">
      <w:pPr>
        <w:suppressAutoHyphens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sr-Latn-CS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sr-Latn-CS"/>
        </w:rPr>
        <w:t>Досадашња тач. в) - ј)  постаје</w:t>
      </w:r>
      <w:r w:rsidR="004D3C52"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sr-Latn-CS"/>
        </w:rPr>
        <w:t xml:space="preserve"> тач. г) -</w:t>
      </w:r>
      <w:r w:rsidR="00A56D6F" w:rsidRPr="0020165E"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sr-Latn-CS"/>
        </w:rPr>
        <w:t xml:space="preserve"> к).</w:t>
      </w:r>
    </w:p>
    <w:p w:rsidR="00A56D6F" w:rsidRPr="0020165E" w:rsidRDefault="00A56D6F" w:rsidP="004D3C52">
      <w:pPr>
        <w:tabs>
          <w:tab w:val="left" w:pos="720"/>
        </w:tabs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8304C3" w:rsidRPr="00FF7A6E" w:rsidRDefault="00A56D6F" w:rsidP="004D3C52">
      <w:pPr>
        <w:tabs>
          <w:tab w:val="left" w:pos="840"/>
          <w:tab w:val="center" w:pos="4536"/>
        </w:tabs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r w:rsidRPr="0020165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</w:r>
      <w:r w:rsidRPr="0020165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</w:r>
      <w:r w:rsidR="00464A36" w:rsidRPr="00FF7A6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Члан 2.</w:t>
      </w:r>
    </w:p>
    <w:p w:rsidR="0020165E" w:rsidRPr="0020165E" w:rsidRDefault="008304C3" w:rsidP="004D3C52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0165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</w:r>
      <w:r w:rsidR="0020165E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 ч</w:t>
      </w:r>
      <w:r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лану 3.</w:t>
      </w:r>
      <w:r w:rsidR="0020165E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став 2.</w:t>
      </w:r>
      <w:r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3E415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после</w:t>
      </w:r>
      <w:r w:rsidR="0020165E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тачке б) додаје се нова тачка в)</w:t>
      </w:r>
      <w:r w:rsidR="008F70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, </w:t>
      </w:r>
      <w:r w:rsidR="0020165E"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која гласи:</w:t>
      </w:r>
    </w:p>
    <w:p w:rsidR="00C95140" w:rsidRDefault="0020165E" w:rsidP="004D3C5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„в) подржи иницијативу, преко представника Републике Србије у управљачким органима одређене банке, а у циљу прибављања најмање индикативне понуде за стицање акција те банке у власништву Републике Србије, да потенцијалном стицаоцу буде омогућено да се упозна са стањем пословања банке; и/или</w:t>
      </w:r>
      <w:r w:rsidRPr="0020165E">
        <w:rPr>
          <w:sz w:val="24"/>
          <w:szCs w:val="24"/>
        </w:rPr>
        <w:t xml:space="preserve"> </w:t>
      </w:r>
      <w:r w:rsidR="008F70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ˮ.</w:t>
      </w:r>
    </w:p>
    <w:p w:rsidR="00C95140" w:rsidRPr="00C95140" w:rsidRDefault="0020165E" w:rsidP="004D3C5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C9514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У досадашњој тачки в), која постаје тачка г)</w:t>
      </w:r>
      <w:r w:rsidR="008F7085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,</w:t>
      </w:r>
      <w:r w:rsidR="00C95140" w:rsidRPr="00C9514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C95140" w:rsidRPr="00C9514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испред речи: „</w:t>
      </w:r>
      <w:r w:rsidR="00C9514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извештај</w:t>
      </w:r>
      <w:r w:rsidR="00C95140" w:rsidRPr="00C95140">
        <w:rPr>
          <w:rFonts w:ascii="Times New Roman" w:eastAsia="Times New Roman" w:hAnsi="Times New Roman" w:cs="Times New Roman"/>
          <w:sz w:val="24"/>
          <w:szCs w:val="24"/>
          <w:lang w:eastAsia="sr-Latn-RS"/>
        </w:rPr>
        <w:t>ˮ</w:t>
      </w:r>
      <w:r w:rsidR="00C9514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додаје се реч</w:t>
      </w:r>
      <w:r w:rsidR="00C95140" w:rsidRPr="00C9514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 „</w:t>
      </w:r>
      <w:r w:rsidR="00C9514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прибави</w:t>
      </w:r>
      <w:r w:rsidR="00C95140" w:rsidRPr="00C95140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”</w:t>
      </w:r>
      <w:r w:rsidR="00C95140" w:rsidRPr="00C9514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:rsidR="003B251E" w:rsidRPr="00C95140" w:rsidRDefault="0020165E" w:rsidP="004D3C52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20165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  </w:t>
      </w:r>
    </w:p>
    <w:p w:rsidR="008304C3" w:rsidRPr="00FF7A6E" w:rsidRDefault="008304C3" w:rsidP="004D3C52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r w:rsidRPr="00FF7A6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Члан 3.</w:t>
      </w:r>
    </w:p>
    <w:p w:rsidR="0077050E" w:rsidRDefault="008304C3" w:rsidP="004D3C52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</w:r>
      <w:r w:rsidR="002C17C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Члан 6. мења се и гласи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</w:t>
      </w:r>
    </w:p>
    <w:p w:rsidR="00C95140" w:rsidRPr="0077050E" w:rsidRDefault="008304C3" w:rsidP="004D3C52">
      <w:pPr>
        <w:tabs>
          <w:tab w:val="center" w:pos="4536"/>
        </w:tabs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77050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ab/>
        <w:t>„Члан 6.</w:t>
      </w:r>
    </w:p>
    <w:p w:rsidR="002C17CE" w:rsidRPr="002C17CE" w:rsidRDefault="00C95140" w:rsidP="004D3C52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ab/>
      </w:r>
      <w:r w:rsidR="002C17CE"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Влада, на образложени предлог Министарства, може донети одлуку о продаји акција на начин предвиђен у члану 5. став 1. тачка 1) ове уредбе под условима дефинисаним чл. 7 - 53. ове уредбе. </w:t>
      </w:r>
    </w:p>
    <w:p w:rsidR="002C17CE" w:rsidRPr="002C17CE" w:rsidRDefault="002C17CE" w:rsidP="004D3C52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sz w:val="24"/>
          <w:szCs w:val="24"/>
          <w:lang w:val="sr-Cyrl-RS" w:eastAsia="sr-Latn-RS"/>
        </w:rPr>
        <w:tab/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>Влада, на образложени предлог Министарства, може донети одлуку о продаји акција на начин предвиђен у члану 5. став 1. тач. 2) и 3) ове уредбе под следећим условима:</w:t>
      </w:r>
    </w:p>
    <w:p w:rsidR="002C17CE" w:rsidRPr="002C17CE" w:rsidRDefault="002C17CE" w:rsidP="004D3C52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sz w:val="24"/>
          <w:szCs w:val="24"/>
          <w:lang w:val="sr-Cyrl-RS" w:eastAsia="sr-Latn-RS"/>
        </w:rPr>
        <w:tab/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>а) да је Министарство, по претходно прибављеној сагласности Владе, објавило информацију, у најмање једном дневном листу који се дистрибуира на целој територији Републике Србије, као и на интернет страници Министарства, да започиње са истраживањем тржишта, у складу са чланом 84б Закона, које ће трајати најмање 120 дана од дана објављивања информације; или</w:t>
      </w:r>
    </w:p>
    <w:p w:rsidR="002C17CE" w:rsidRPr="002C17CE" w:rsidRDefault="002C17CE" w:rsidP="004D3C52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sz w:val="24"/>
          <w:szCs w:val="24"/>
          <w:lang w:val="sr-Cyrl-RS" w:eastAsia="sr-Latn-RS"/>
        </w:rPr>
        <w:tab/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б) да је потенцијални стицалац, на основу достављеног писма о </w:t>
      </w:r>
      <w:r w:rsidR="0048072D">
        <w:rPr>
          <w:rFonts w:ascii="Times New Roman" w:hAnsi="Times New Roman" w:cs="Times New Roman"/>
          <w:sz w:val="24"/>
          <w:szCs w:val="24"/>
          <w:lang w:val="sr-Cyrl-RS" w:eastAsia="sr-Latn-RS"/>
        </w:rPr>
        <w:t>заинтересованости или сличног документа,</w:t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изразио озбиљну спремност за преузимање или куповину акција на регулисаном тржишту или мултилатералној трговачкој платформи</w:t>
      </w:r>
      <w:r w:rsidRPr="002C17CE">
        <w:rPr>
          <w:rFonts w:ascii="Times New Roman" w:hAnsi="Times New Roman" w:cs="Times New Roman"/>
          <w:sz w:val="24"/>
          <w:szCs w:val="24"/>
          <w:lang w:eastAsia="sr-Latn-RS"/>
        </w:rPr>
        <w:t>,</w:t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као и да је, након упознавања са стањем пословања банке, доставио понуду са ценом која је виша од цене </w:t>
      </w:r>
      <w:r w:rsidR="0048072D">
        <w:rPr>
          <w:rFonts w:ascii="Times New Roman" w:hAnsi="Times New Roman" w:cs="Times New Roman"/>
          <w:sz w:val="24"/>
          <w:szCs w:val="24"/>
          <w:lang w:val="sr-Cyrl-RS" w:eastAsia="sr-Latn-RS"/>
        </w:rPr>
        <w:t>регулисане прописима који уређују услове и поступак за преузимање</w:t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акционарских друштава, односно  Законом;  </w:t>
      </w:r>
    </w:p>
    <w:p w:rsidR="002C17CE" w:rsidRPr="002C17CE" w:rsidRDefault="002C17CE" w:rsidP="002C17CE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sz w:val="24"/>
          <w:szCs w:val="24"/>
          <w:lang w:val="sr-Cyrl-RS" w:eastAsia="sr-Latn-RS"/>
        </w:rPr>
        <w:lastRenderedPageBreak/>
        <w:tab/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в) да је прибављен извештај о процени вредности капитала банке, сачињен на захтев Министарства, који не може бити старији од 90 дана у односу на датум доношења одлуке Владе о продаји акција; </w:t>
      </w:r>
    </w:p>
    <w:p w:rsidR="002C17CE" w:rsidRPr="002C17CE" w:rsidRDefault="002C17CE" w:rsidP="002C17CE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sz w:val="24"/>
          <w:szCs w:val="24"/>
          <w:lang w:val="sr-Cyrl-RS" w:eastAsia="sr-Latn-RS"/>
        </w:rPr>
        <w:tab/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>г) да је потенцијални стицалац прибавио одговарајућу претходну сагласност Народне банке Србије и остале одговарајуће сагласности и/или дозволе надлежних органа и испунио остале услове предвиђене позитивним прописима за реализацију предметне трансакције.</w:t>
      </w:r>
    </w:p>
    <w:p w:rsidR="00376C67" w:rsidRDefault="002C17CE" w:rsidP="002C17CE">
      <w:pPr>
        <w:jc w:val="both"/>
        <w:rPr>
          <w:rFonts w:ascii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hAnsi="Times New Roman" w:cs="Times New Roman"/>
          <w:sz w:val="24"/>
          <w:szCs w:val="24"/>
          <w:lang w:val="sr-Cyrl-RS" w:eastAsia="sr-Latn-RS"/>
        </w:rPr>
        <w:tab/>
      </w:r>
      <w:r w:rsidR="003C385D">
        <w:rPr>
          <w:rFonts w:ascii="Times New Roman" w:hAnsi="Times New Roman" w:cs="Times New Roman"/>
          <w:sz w:val="24"/>
          <w:szCs w:val="24"/>
          <w:lang w:val="sr-Cyrl-RS" w:eastAsia="sr-Latn-RS"/>
        </w:rPr>
        <w:t>Извештај</w:t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из</w:t>
      </w:r>
      <w:r w:rsidR="003C385D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става 2. тачка в) овог члана</w:t>
      </w:r>
      <w:r w:rsidRPr="002C17CE"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 може бити сачињен само од друштва за ревизију које се налази на листи Народне банке Србије друштава за ревизију овлашћених за ревизију финансијских извештаја банака и које, у три календарске године које претходе датуму на који се врши процена вредности капитала, није вршило ревизију финансијских извештаја банке, нити пружало банци друге услуге које представљају сукоб интереса, у складу са позитивним прописима и најбољом међународном праксом.</w:t>
      </w:r>
      <w:r w:rsidRPr="0020165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ˮ</w:t>
      </w:r>
      <w:r w:rsidR="0077050E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>.</w:t>
      </w:r>
    </w:p>
    <w:p w:rsidR="00D3620A" w:rsidRPr="002C17CE" w:rsidRDefault="00D3620A" w:rsidP="002C17CE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ab/>
      </w:r>
    </w:p>
    <w:p w:rsidR="00BE339A" w:rsidRPr="00FF7A6E" w:rsidRDefault="00C875EA" w:rsidP="00C875EA">
      <w:pPr>
        <w:jc w:val="center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r w:rsidRPr="00FF7A6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Члан </w:t>
      </w:r>
      <w:r w:rsidR="00061951" w:rsidRPr="00FF7A6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4</w:t>
      </w:r>
      <w:r w:rsidRPr="00FF7A6E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:rsidR="00BE339A" w:rsidRDefault="00BE339A" w:rsidP="00BE339A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BE339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Ова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уредба ступа на снагу осмог дана од дана објављивања у „Службеном гласнику Републике Србије</w:t>
      </w:r>
      <w:r w:rsidR="00927AEA" w:rsidRPr="009906B9">
        <w:rPr>
          <w:rFonts w:ascii="Times New Roman" w:hAnsi="Times New Roman" w:cs="Times New Roman"/>
          <w:lang w:val="ru-RU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</w:t>
      </w:r>
    </w:p>
    <w:p w:rsidR="00BE339A" w:rsidRDefault="00BE339A" w:rsidP="00BE339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BE339A" w:rsidRDefault="00BE339A" w:rsidP="00BE339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BE339A" w:rsidRPr="001207B9" w:rsidRDefault="00FF7A6E" w:rsidP="00BE339A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 xml:space="preserve">05 </w:t>
      </w:r>
      <w:r w:rsidR="00BE339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Број:</w:t>
      </w:r>
      <w:r w:rsidR="001207B9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 xml:space="preserve"> 110-6782/2018</w:t>
      </w:r>
    </w:p>
    <w:p w:rsidR="00BE339A" w:rsidRDefault="003C385D" w:rsidP="00BE339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 Београду,  </w:t>
      </w:r>
      <w:r w:rsidR="001207B9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17.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86165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јул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</w:t>
      </w:r>
      <w:r w:rsidR="0086165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2018</w:t>
      </w:r>
      <w:r w:rsidR="00BE339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. године</w:t>
      </w:r>
    </w:p>
    <w:p w:rsidR="00BE339A" w:rsidRDefault="00BE339A" w:rsidP="00BE339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BE339A" w:rsidRDefault="00BE339A" w:rsidP="00BE339A">
      <w:pPr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BE339A" w:rsidRDefault="00BE339A" w:rsidP="00BE339A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В Л А Д А</w:t>
      </w:r>
    </w:p>
    <w:p w:rsidR="00BE339A" w:rsidRDefault="00BE339A" w:rsidP="00BE339A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BE339A" w:rsidRDefault="00BE339A" w:rsidP="00BE339A">
      <w:pPr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3B251E" w:rsidRDefault="003C385D" w:rsidP="00DF7837">
      <w:pPr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      </w:t>
      </w:r>
      <w:r w:rsidR="00BE339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ПРЕДСЕДНИК</w:t>
      </w:r>
    </w:p>
    <w:p w:rsidR="003C385D" w:rsidRDefault="003C385D" w:rsidP="00DF7837">
      <w:pPr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</w:p>
    <w:p w:rsidR="003C385D" w:rsidRPr="003B251E" w:rsidRDefault="003C385D" w:rsidP="00DF7837">
      <w:pPr>
        <w:ind w:left="5664" w:firstLine="708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     Ана Брнабић</w:t>
      </w:r>
      <w:r w:rsidR="001207B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 с.р.</w:t>
      </w:r>
    </w:p>
    <w:sectPr w:rsidR="003C385D" w:rsidRPr="003B251E" w:rsidSect="0047439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205">
    <w:altName w:val="Times New Roman"/>
    <w:charset w:val="EE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E2BF3"/>
    <w:multiLevelType w:val="hybridMultilevel"/>
    <w:tmpl w:val="56CC51C2"/>
    <w:lvl w:ilvl="0" w:tplc="C4BE3CE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70"/>
    <w:rsid w:val="00061951"/>
    <w:rsid w:val="000909B6"/>
    <w:rsid w:val="00092623"/>
    <w:rsid w:val="000D306A"/>
    <w:rsid w:val="00107E29"/>
    <w:rsid w:val="001207B9"/>
    <w:rsid w:val="0014194D"/>
    <w:rsid w:val="001719B1"/>
    <w:rsid w:val="001B2197"/>
    <w:rsid w:val="001D5B2F"/>
    <w:rsid w:val="0020165E"/>
    <w:rsid w:val="002646CC"/>
    <w:rsid w:val="00277F61"/>
    <w:rsid w:val="002C17CE"/>
    <w:rsid w:val="002D0A5A"/>
    <w:rsid w:val="002E738C"/>
    <w:rsid w:val="003246BE"/>
    <w:rsid w:val="00341075"/>
    <w:rsid w:val="00360784"/>
    <w:rsid w:val="00376C67"/>
    <w:rsid w:val="003879DF"/>
    <w:rsid w:val="003A162F"/>
    <w:rsid w:val="003B251E"/>
    <w:rsid w:val="003C385D"/>
    <w:rsid w:val="003E415F"/>
    <w:rsid w:val="003F5289"/>
    <w:rsid w:val="00412257"/>
    <w:rsid w:val="00427FA0"/>
    <w:rsid w:val="00447D84"/>
    <w:rsid w:val="00464A36"/>
    <w:rsid w:val="0047439F"/>
    <w:rsid w:val="0048072D"/>
    <w:rsid w:val="0048091E"/>
    <w:rsid w:val="004A008B"/>
    <w:rsid w:val="004B5507"/>
    <w:rsid w:val="004D3C52"/>
    <w:rsid w:val="00502C3A"/>
    <w:rsid w:val="00512E3E"/>
    <w:rsid w:val="00542B23"/>
    <w:rsid w:val="00591625"/>
    <w:rsid w:val="0059304E"/>
    <w:rsid w:val="005D5B79"/>
    <w:rsid w:val="00601A16"/>
    <w:rsid w:val="006475B3"/>
    <w:rsid w:val="00664D0B"/>
    <w:rsid w:val="006A6CC9"/>
    <w:rsid w:val="006B7F00"/>
    <w:rsid w:val="006D507F"/>
    <w:rsid w:val="006E345B"/>
    <w:rsid w:val="00720132"/>
    <w:rsid w:val="00747B74"/>
    <w:rsid w:val="0077050E"/>
    <w:rsid w:val="007E2CA9"/>
    <w:rsid w:val="008171F3"/>
    <w:rsid w:val="008218A0"/>
    <w:rsid w:val="008304C3"/>
    <w:rsid w:val="0084092E"/>
    <w:rsid w:val="00861653"/>
    <w:rsid w:val="008B7378"/>
    <w:rsid w:val="008F7085"/>
    <w:rsid w:val="009120E5"/>
    <w:rsid w:val="00915011"/>
    <w:rsid w:val="00927AEA"/>
    <w:rsid w:val="00971491"/>
    <w:rsid w:val="00982DD8"/>
    <w:rsid w:val="009B7B70"/>
    <w:rsid w:val="009D3A8D"/>
    <w:rsid w:val="00A53304"/>
    <w:rsid w:val="00A56D6F"/>
    <w:rsid w:val="00AA209C"/>
    <w:rsid w:val="00AB24F7"/>
    <w:rsid w:val="00AE4A51"/>
    <w:rsid w:val="00B147CB"/>
    <w:rsid w:val="00B709A2"/>
    <w:rsid w:val="00B82284"/>
    <w:rsid w:val="00BD23E7"/>
    <w:rsid w:val="00BE339A"/>
    <w:rsid w:val="00BF49B7"/>
    <w:rsid w:val="00C51AD2"/>
    <w:rsid w:val="00C74D77"/>
    <w:rsid w:val="00C875EA"/>
    <w:rsid w:val="00C95140"/>
    <w:rsid w:val="00D1249F"/>
    <w:rsid w:val="00D3620A"/>
    <w:rsid w:val="00D42A7B"/>
    <w:rsid w:val="00DB270C"/>
    <w:rsid w:val="00DB2A3F"/>
    <w:rsid w:val="00DF7837"/>
    <w:rsid w:val="00E202A2"/>
    <w:rsid w:val="00E418BC"/>
    <w:rsid w:val="00E51B47"/>
    <w:rsid w:val="00E943C8"/>
    <w:rsid w:val="00EC0623"/>
    <w:rsid w:val="00EE5740"/>
    <w:rsid w:val="00EF1F53"/>
    <w:rsid w:val="00F527E2"/>
    <w:rsid w:val="00F93198"/>
    <w:rsid w:val="00FF125F"/>
    <w:rsid w:val="00FF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4E2EC8-5746-46E6-B59C-3E841F0B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EF1F53"/>
    <w:pPr>
      <w:spacing w:before="100" w:beforeAutospacing="1" w:after="100" w:afterAutospacing="1"/>
    </w:pPr>
    <w:rPr>
      <w:rFonts w:ascii="Arial" w:eastAsia="Times New Roman" w:hAnsi="Arial" w:cs="Aria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F5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F53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C951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5140"/>
    <w:pPr>
      <w:suppressAutoHyphens/>
      <w:spacing w:after="200" w:line="276" w:lineRule="auto"/>
    </w:pPr>
    <w:rPr>
      <w:rFonts w:ascii="Calibri" w:eastAsia="Calibri" w:hAnsi="Calibri" w:cs="font205"/>
      <w:kern w:val="1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5140"/>
    <w:rPr>
      <w:rFonts w:ascii="Calibri" w:eastAsia="Calibri" w:hAnsi="Calibri" w:cs="font205"/>
      <w:kern w:val="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0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06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B5190-9676-4356-A7F7-8D087589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 Vajagić</dc:creator>
  <cp:lastModifiedBy>Jovan Stojanovic</cp:lastModifiedBy>
  <cp:revision>2</cp:revision>
  <cp:lastPrinted>2018-07-17T07:52:00Z</cp:lastPrinted>
  <dcterms:created xsi:type="dcterms:W3CDTF">2018-07-17T12:36:00Z</dcterms:created>
  <dcterms:modified xsi:type="dcterms:W3CDTF">2018-07-17T12:36:00Z</dcterms:modified>
</cp:coreProperties>
</file>